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FA" w:rsidRPr="00740F50" w:rsidRDefault="00ED0CFA" w:rsidP="00ED0CFA">
      <w:pPr>
        <w:widowControl/>
        <w:spacing w:line="460" w:lineRule="exact"/>
        <w:rPr>
          <w:rFonts w:ascii="方正小标宋简体" w:eastAsia="方正小标宋简体" w:hAnsi="华文中宋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华文中宋" w:cs="方正小标宋简体" w:hint="eastAsia"/>
          <w:color w:val="000000"/>
          <w:kern w:val="0"/>
          <w:sz w:val="32"/>
          <w:szCs w:val="32"/>
        </w:rPr>
        <w:t>附件</w:t>
      </w:r>
      <w:r>
        <w:rPr>
          <w:rFonts w:ascii="方正小标宋简体" w:eastAsia="方正小标宋简体" w:hAnsi="华文中宋" w:cs="方正小标宋简体"/>
          <w:color w:val="000000"/>
          <w:kern w:val="0"/>
          <w:sz w:val="32"/>
          <w:szCs w:val="32"/>
        </w:rPr>
        <w:t>1</w:t>
      </w:r>
      <w:r>
        <w:rPr>
          <w:rFonts w:ascii="方正小标宋简体" w:eastAsia="方正小标宋简体" w:hAnsi="华文中宋" w:cs="方正小标宋简体" w:hint="eastAsia"/>
          <w:color w:val="000000"/>
          <w:kern w:val="0"/>
          <w:sz w:val="32"/>
          <w:szCs w:val="32"/>
        </w:rPr>
        <w:t>：</w:t>
      </w:r>
      <w:r w:rsidRPr="00740F50">
        <w:rPr>
          <w:rFonts w:ascii="方正小标宋简体" w:eastAsia="方正小标宋简体" w:hAnsi="华文中宋" w:cs="方正小标宋简体" w:hint="eastAsia"/>
          <w:color w:val="000000"/>
          <w:kern w:val="0"/>
          <w:sz w:val="28"/>
          <w:szCs w:val="28"/>
        </w:rPr>
        <w:t>昌邑市人民医院</w:t>
      </w:r>
      <w:r w:rsidRPr="00740F50">
        <w:rPr>
          <w:rFonts w:ascii="方正小标宋简体" w:eastAsia="方正小标宋简体" w:hAnsi="华文中宋" w:cs="方正小标宋简体"/>
          <w:color w:val="000000"/>
          <w:kern w:val="0"/>
          <w:sz w:val="28"/>
          <w:szCs w:val="28"/>
        </w:rPr>
        <w:t>2021</w:t>
      </w:r>
      <w:r w:rsidRPr="00740F50">
        <w:rPr>
          <w:rFonts w:ascii="方正小标宋简体" w:eastAsia="方正小标宋简体" w:hAnsi="华文中宋" w:cs="方正小标宋简体" w:hint="eastAsia"/>
          <w:color w:val="000000"/>
          <w:kern w:val="0"/>
          <w:sz w:val="28"/>
          <w:szCs w:val="28"/>
        </w:rPr>
        <w:t>年第二批控制总量内人员需求计划表</w:t>
      </w:r>
    </w:p>
    <w:tbl>
      <w:tblPr>
        <w:tblpPr w:leftFromText="180" w:rightFromText="180" w:vertAnchor="text" w:horzAnchor="margin" w:tblpXSpec="center" w:tblpY="218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00"/>
        <w:gridCol w:w="706"/>
        <w:gridCol w:w="1411"/>
        <w:gridCol w:w="1271"/>
        <w:gridCol w:w="3811"/>
      </w:tblGrid>
      <w:tr w:rsidR="00ED0CFA" w:rsidTr="003A0D01">
        <w:trPr>
          <w:trHeight w:val="608"/>
        </w:trPr>
        <w:tc>
          <w:tcPr>
            <w:tcW w:w="1237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400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</w:rPr>
              <w:t>学位</w:t>
            </w:r>
          </w:p>
        </w:tc>
        <w:tc>
          <w:tcPr>
            <w:tcW w:w="3811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3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其他条件要求</w:t>
            </w:r>
          </w:p>
        </w:tc>
      </w:tr>
      <w:tr w:rsidR="00ED0CFA" w:rsidTr="003A0D01">
        <w:trPr>
          <w:trHeight w:hRule="exact" w:val="491"/>
        </w:trPr>
        <w:tc>
          <w:tcPr>
            <w:tcW w:w="1237" w:type="dxa"/>
            <w:vMerge w:val="restart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医疗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A</w:t>
            </w:r>
          </w:p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心血管病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1" w:type="dxa"/>
            <w:vMerge w:val="restart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研究生</w:t>
            </w:r>
          </w:p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硕士及以上</w:t>
            </w:r>
          </w:p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811" w:type="dxa"/>
            <w:vMerge w:val="restart"/>
            <w:shd w:val="clear" w:color="auto" w:fill="FFFFFF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ED0CFA" w:rsidRDefault="00ED0CFA" w:rsidP="003A0D01">
            <w:pPr>
              <w:widowControl/>
              <w:spacing w:line="24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ED0CFA" w:rsidRDefault="00ED0CFA" w:rsidP="003A0D01">
            <w:pPr>
              <w:widowControl/>
              <w:spacing w:line="24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取得执业医师资格证书或执业医师资格考试合格</w:t>
            </w:r>
          </w:p>
        </w:tc>
      </w:tr>
      <w:tr w:rsidR="00ED0CFA" w:rsidTr="003A0D01">
        <w:trPr>
          <w:trHeight w:hRule="exact" w:val="491"/>
        </w:trPr>
        <w:tc>
          <w:tcPr>
            <w:tcW w:w="1237" w:type="dxa"/>
            <w:vMerge/>
            <w:shd w:val="clear" w:color="auto" w:fill="FFFFFF"/>
            <w:noWrap/>
            <w:vAlign w:val="center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81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ED0CFA" w:rsidTr="003A0D01">
        <w:trPr>
          <w:trHeight w:hRule="exact" w:val="491"/>
        </w:trPr>
        <w:tc>
          <w:tcPr>
            <w:tcW w:w="1237" w:type="dxa"/>
            <w:vMerge/>
            <w:shd w:val="clear" w:color="auto" w:fill="FFFFFF"/>
            <w:noWrap/>
            <w:vAlign w:val="center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消化系病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81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ED0CFA" w:rsidTr="003A0D01">
        <w:trPr>
          <w:trHeight w:hRule="exact" w:val="491"/>
        </w:trPr>
        <w:tc>
          <w:tcPr>
            <w:tcW w:w="1237" w:type="dxa"/>
            <w:vMerge/>
            <w:shd w:val="clear" w:color="auto" w:fill="FFFFFF"/>
            <w:noWrap/>
            <w:vAlign w:val="center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内分泌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81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ED0CFA" w:rsidTr="003A0D01">
        <w:trPr>
          <w:trHeight w:hRule="exact" w:val="491"/>
        </w:trPr>
        <w:tc>
          <w:tcPr>
            <w:tcW w:w="1237" w:type="dxa"/>
            <w:vMerge/>
            <w:shd w:val="clear" w:color="auto" w:fill="FFFFFF"/>
            <w:noWrap/>
            <w:vAlign w:val="center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肿瘤、血液病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81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ED0CFA" w:rsidTr="003A0D01">
        <w:trPr>
          <w:trHeight w:hRule="exact" w:val="491"/>
        </w:trPr>
        <w:tc>
          <w:tcPr>
            <w:tcW w:w="1237" w:type="dxa"/>
            <w:vMerge/>
            <w:shd w:val="clear" w:color="auto" w:fill="FFFFFF"/>
            <w:noWrap/>
            <w:vAlign w:val="center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普外科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81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ED0CFA" w:rsidTr="003A0D01">
        <w:trPr>
          <w:trHeight w:hRule="exact" w:val="491"/>
        </w:trPr>
        <w:tc>
          <w:tcPr>
            <w:tcW w:w="1237" w:type="dxa"/>
            <w:vMerge/>
            <w:shd w:val="clear" w:color="auto" w:fill="FFFFFF"/>
            <w:noWrap/>
            <w:vAlign w:val="center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D0CFA" w:rsidRDefault="00ED0CFA" w:rsidP="003A0D01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81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ED0CFA" w:rsidTr="003A0D01">
        <w:trPr>
          <w:trHeight w:hRule="exact" w:val="491"/>
        </w:trPr>
        <w:tc>
          <w:tcPr>
            <w:tcW w:w="1237" w:type="dxa"/>
            <w:vMerge/>
            <w:shd w:val="clear" w:color="auto" w:fill="FFFFFF"/>
            <w:noWrap/>
            <w:vAlign w:val="center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显微外科或骨科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D0CFA" w:rsidRDefault="00ED0CFA" w:rsidP="003A0D01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81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ED0CFA" w:rsidTr="003A0D01">
        <w:trPr>
          <w:trHeight w:hRule="exact" w:val="491"/>
        </w:trPr>
        <w:tc>
          <w:tcPr>
            <w:tcW w:w="1237" w:type="dxa"/>
            <w:vMerge/>
            <w:shd w:val="clear" w:color="auto" w:fill="FFFFFF"/>
            <w:noWrap/>
            <w:vAlign w:val="center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D0CFA" w:rsidRDefault="00ED0CFA" w:rsidP="003A0D01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81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ED0CFA" w:rsidTr="003A0D01">
        <w:trPr>
          <w:trHeight w:hRule="exact" w:val="491"/>
        </w:trPr>
        <w:tc>
          <w:tcPr>
            <w:tcW w:w="1237" w:type="dxa"/>
            <w:vMerge/>
            <w:shd w:val="clear" w:color="auto" w:fill="FFFFFF"/>
            <w:noWrap/>
            <w:vAlign w:val="center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D0CFA" w:rsidRDefault="00ED0CFA" w:rsidP="003A0D01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811" w:type="dxa"/>
            <w:vMerge/>
            <w:shd w:val="clear" w:color="auto" w:fill="FFFFFF"/>
          </w:tcPr>
          <w:p w:rsidR="00ED0CFA" w:rsidRDefault="00ED0CFA" w:rsidP="003A0D01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ED0CFA" w:rsidTr="003A0D01">
        <w:trPr>
          <w:trHeight w:hRule="exact" w:val="491"/>
        </w:trPr>
        <w:tc>
          <w:tcPr>
            <w:tcW w:w="1237" w:type="dxa"/>
            <w:vMerge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儿科或新生儿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D0CFA" w:rsidRDefault="00ED0CFA" w:rsidP="003A0D01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1" w:type="dxa"/>
            <w:vMerge/>
            <w:shd w:val="clear" w:color="auto" w:fill="FFFFFF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3811" w:type="dxa"/>
            <w:vMerge/>
            <w:shd w:val="clear" w:color="auto" w:fill="FFFFFF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ED0CFA" w:rsidTr="003A0D01">
        <w:trPr>
          <w:trHeight w:hRule="exact" w:val="491"/>
        </w:trPr>
        <w:tc>
          <w:tcPr>
            <w:tcW w:w="1237" w:type="dxa"/>
            <w:vMerge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超声诊断学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D0CFA" w:rsidRDefault="00ED0CFA" w:rsidP="003A0D01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1" w:type="dxa"/>
            <w:vMerge/>
            <w:shd w:val="clear" w:color="auto" w:fill="FFFFFF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71" w:type="dxa"/>
            <w:vMerge/>
            <w:shd w:val="clear" w:color="auto" w:fill="FFFFFF"/>
            <w:vAlign w:val="center"/>
          </w:tcPr>
          <w:p w:rsidR="00ED0CFA" w:rsidRDefault="00ED0CFA" w:rsidP="003A0D01"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811" w:type="dxa"/>
            <w:vMerge/>
            <w:shd w:val="clear" w:color="auto" w:fill="FFFFFF"/>
            <w:vAlign w:val="center"/>
          </w:tcPr>
          <w:p w:rsidR="00ED0CFA" w:rsidRDefault="00ED0CFA" w:rsidP="003A0D01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D0CFA" w:rsidTr="003A0D01">
        <w:trPr>
          <w:trHeight w:hRule="exact" w:val="491"/>
        </w:trPr>
        <w:tc>
          <w:tcPr>
            <w:tcW w:w="1237" w:type="dxa"/>
            <w:vMerge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医学影像学、核医学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D0CFA" w:rsidRDefault="00ED0CFA" w:rsidP="003A0D01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vMerge/>
            <w:shd w:val="clear" w:color="auto" w:fill="FFFFFF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271" w:type="dxa"/>
            <w:vMerge/>
            <w:shd w:val="clear" w:color="auto" w:fill="FFFFFF"/>
            <w:vAlign w:val="center"/>
          </w:tcPr>
          <w:p w:rsidR="00ED0CFA" w:rsidRDefault="00ED0CFA" w:rsidP="003A0D01"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811" w:type="dxa"/>
            <w:vMerge/>
            <w:shd w:val="clear" w:color="auto" w:fill="FFFFFF"/>
            <w:vAlign w:val="center"/>
          </w:tcPr>
          <w:p w:rsidR="00ED0CFA" w:rsidRDefault="00ED0CFA" w:rsidP="003A0D01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ED0CFA" w:rsidTr="003A0D01">
        <w:trPr>
          <w:trHeight w:hRule="exact" w:val="914"/>
        </w:trPr>
        <w:tc>
          <w:tcPr>
            <w:tcW w:w="1237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医疗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2400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240" w:lineRule="exac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本科及以上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240" w:lineRule="exac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学士及以上</w:t>
            </w:r>
          </w:p>
        </w:tc>
        <w:tc>
          <w:tcPr>
            <w:tcW w:w="3811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240" w:lineRule="exac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取得执业医师资格证书或执业医师资格考试合格</w:t>
            </w:r>
          </w:p>
        </w:tc>
      </w:tr>
      <w:tr w:rsidR="00ED0CFA" w:rsidTr="003A0D01">
        <w:trPr>
          <w:trHeight w:hRule="exact" w:val="2178"/>
        </w:trPr>
        <w:tc>
          <w:tcPr>
            <w:tcW w:w="1237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医疗C</w:t>
            </w:r>
          </w:p>
        </w:tc>
        <w:tc>
          <w:tcPr>
            <w:tcW w:w="2400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340" w:lineRule="exac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本科及以上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340" w:lineRule="exac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学士及以上</w:t>
            </w:r>
          </w:p>
        </w:tc>
        <w:tc>
          <w:tcPr>
            <w:tcW w:w="3811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/>
                <w:color w:val="000000"/>
                <w:kern w:val="0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限应届高校毕业生和择业期内未落实工作单位的高校毕业生报考。</w:t>
            </w:r>
          </w:p>
          <w:p w:rsidR="00ED0CFA" w:rsidRDefault="00ED0CFA" w:rsidP="003A0D01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/>
                <w:color w:val="000000"/>
                <w:kern w:val="0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取得执业医师资格证书或执业医师资格考试合格（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2020-2021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年的本科毕业生可暂不提供执业医师资格证书）</w:t>
            </w:r>
          </w:p>
        </w:tc>
      </w:tr>
      <w:tr w:rsidR="00ED0CFA" w:rsidTr="003A0D01">
        <w:trPr>
          <w:trHeight w:hRule="exact" w:val="486"/>
        </w:trPr>
        <w:tc>
          <w:tcPr>
            <w:tcW w:w="1237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影像</w:t>
            </w:r>
          </w:p>
        </w:tc>
        <w:tc>
          <w:tcPr>
            <w:tcW w:w="2400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340" w:lineRule="exac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本科及以上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340" w:lineRule="exac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学士及以上</w:t>
            </w:r>
          </w:p>
        </w:tc>
        <w:tc>
          <w:tcPr>
            <w:tcW w:w="3811" w:type="dxa"/>
            <w:vMerge w:val="restart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280" w:lineRule="exac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取得执业医师资格证书或执业医师资格考试合格（</w:t>
            </w:r>
            <w:r>
              <w:rPr>
                <w:rFonts w:ascii="仿宋" w:eastAsia="仿宋" w:hAnsi="仿宋" w:cs="仿宋"/>
                <w:color w:val="000000"/>
                <w:kern w:val="0"/>
              </w:rPr>
              <w:t>2020-2021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年的全日制本科毕业生可暂不提供执业医师资格证书）</w:t>
            </w:r>
          </w:p>
        </w:tc>
      </w:tr>
      <w:tr w:rsidR="00ED0CFA" w:rsidTr="003A0D01">
        <w:trPr>
          <w:trHeight w:hRule="exact" w:val="837"/>
        </w:trPr>
        <w:tc>
          <w:tcPr>
            <w:tcW w:w="1237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2400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中医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340" w:lineRule="exac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本科及以上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340" w:lineRule="exac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学士及以上</w:t>
            </w:r>
          </w:p>
        </w:tc>
        <w:tc>
          <w:tcPr>
            <w:tcW w:w="3811" w:type="dxa"/>
            <w:vMerge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34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ED0CFA" w:rsidTr="003A0D01">
        <w:trPr>
          <w:trHeight w:hRule="exact" w:val="771"/>
        </w:trPr>
        <w:tc>
          <w:tcPr>
            <w:tcW w:w="1237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口腔</w:t>
            </w:r>
          </w:p>
        </w:tc>
        <w:tc>
          <w:tcPr>
            <w:tcW w:w="2400" w:type="dxa"/>
            <w:shd w:val="clear" w:color="auto" w:fill="FFFFFF"/>
            <w:noWrap/>
            <w:vAlign w:val="center"/>
          </w:tcPr>
          <w:p w:rsidR="00ED0CFA" w:rsidRDefault="00ED0CFA" w:rsidP="003A0D01">
            <w:pPr>
              <w:widowControl/>
              <w:spacing w:line="34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340" w:lineRule="exac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本科及以上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340" w:lineRule="exac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学士及以上</w:t>
            </w:r>
          </w:p>
        </w:tc>
        <w:tc>
          <w:tcPr>
            <w:tcW w:w="3811" w:type="dxa"/>
            <w:vMerge/>
            <w:shd w:val="clear" w:color="auto" w:fill="FFFFFF"/>
            <w:vAlign w:val="center"/>
          </w:tcPr>
          <w:p w:rsidR="00ED0CFA" w:rsidRDefault="00ED0CFA" w:rsidP="003A0D01">
            <w:pPr>
              <w:widowControl/>
              <w:spacing w:line="340" w:lineRule="exac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ED0CFA" w:rsidRDefault="00ED0CFA" w:rsidP="00ED0CFA">
      <w:pPr>
        <w:widowControl/>
        <w:jc w:val="left"/>
        <w:rPr>
          <w:rFonts w:ascii="华文中宋" w:eastAsia="华文中宋" w:hAnsi="华文中宋"/>
          <w:color w:val="000000"/>
          <w:kern w:val="0"/>
          <w:sz w:val="28"/>
          <w:szCs w:val="28"/>
        </w:rPr>
      </w:pPr>
    </w:p>
    <w:p w:rsidR="00721CCF" w:rsidRDefault="00721CCF"/>
    <w:sectPr w:rsidR="00721CCF" w:rsidSect="007D5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0CFA"/>
    <w:rsid w:val="00721CCF"/>
    <w:rsid w:val="00ED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F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shendu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2021-09-13T08:32:00Z</dcterms:created>
  <dcterms:modified xsi:type="dcterms:W3CDTF">2021-09-13T08:32:00Z</dcterms:modified>
</cp:coreProperties>
</file>